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40"/>
          <w:szCs w:val="40"/>
        </w:rPr>
        <w:t xml:space="preserve">Описание функциональных характеристик</w:t>
      </w:r>
    </w:p>
    <w:p>
      <w:pPr>
        <w:spacing w:after="300"/>
        <w:jc w:val="center"/>
      </w:pPr>
      <w:r>
        <w:rPr>
          <w:b/>
          <w:bCs/>
          <w:sz w:val="40"/>
          <w:szCs w:val="40"/>
        </w:rPr>
        <w:t xml:space="preserve">и сведений, необходимых для получения доступа и эксплуатации</w:t>
      </w:r>
    </w:p>
    <w:p>
      <w:pPr>
        <w:spacing w:after="140" w:line="288"/>
        <w:jc w:val="center"/>
      </w:pPr>
      <w:r>
        <w:rPr>
          <w:b/>
          <w:bCs/>
          <w:sz w:val="24"/>
          <w:szCs w:val="24"/>
        </w:rPr>
        <w:t xml:space="preserve">Программа для ЭВМ «Верный ход»</w:t>
      </w:r>
      <w:r>
        <w:rPr>
          <w:sz w:val="24"/>
          <w:szCs w:val="24"/>
        </w:rPr>
        <w:t xml:space="preserve"> — интеллектуальная система управления деловыми связями и взаимоотношениями</w:t>
      </w:r>
    </w:p>
    <w:p>
      <w:pPr>
        <w:spacing w:after="140" w:line="288"/>
        <w:jc w:val="center"/>
      </w:pPr>
      <w:r>
        <w:rPr>
          <w:sz w:val="24"/>
          <w:szCs w:val="24"/>
        </w:rPr>
        <w:t xml:space="preserve">Свидетельство о государственной регистрации программы для ЭВМ № 2026686079 от 27 августа 2026 г.</w:t>
      </w:r>
    </w:p>
    <w:p>
      <w:pPr>
        <w:spacing w:after="140" w:line="288"/>
        <w:jc w:val="center"/>
      </w:pPr>
      <w:r>
        <w:rPr>
          <w:sz w:val="24"/>
          <w:szCs w:val="24"/>
        </w:rPr>
        <w:t xml:space="preserve">Правообладатель — Общество с ограниченной ответственностью «ВЕРНЫЙ ХОД»</w:t>
      </w:r>
    </w:p>
    <w:p>
      <w:pPr>
        <w:spacing w:after="140" w:line="288"/>
        <w:jc w:val="center"/>
      </w:pPr>
      <w:r>
        <w:rPr>
          <w:sz w:val="24"/>
          <w:szCs w:val="24"/>
        </w:rPr>
        <w:t xml:space="preserve">Версия 1.0 · Москва · 2026</w:t>
      </w:r>
    </w:p>
    <w:p>
      <w:pPr>
        <w:spacing w:after="200"/>
      </w:pPr>
    </w:p>
    <w:p>
      <w:pPr>
        <w:pStyle w:val="Heading2"/>
        <w:spacing w:after="160" w:before="360"/>
      </w:pPr>
      <w:r>
        <w:rPr>
          <w:b/>
          <w:bCs/>
          <w:sz w:val="28"/>
          <w:szCs w:val="28"/>
        </w:rPr>
        <w:t xml:space="preserve">1. Назначение</w:t>
      </w:r>
    </w:p>
    <w:p>
      <w:pPr>
        <w:spacing w:after="140" w:line="288"/>
        <w:jc w:val="both"/>
      </w:pPr>
      <w:r>
        <w:rPr>
          <w:sz w:val="24"/>
          <w:szCs w:val="24"/>
        </w:rPr>
        <w:t xml:space="preserve">Программа предназначена для автоматизации работы производителей программного обеспечения с сетью партнёров, продающих и внедряющих их продукты.</w:t>
      </w:r>
    </w:p>
    <w:p>
      <w:pPr>
        <w:spacing w:after="140" w:line="288"/>
        <w:jc w:val="both"/>
      </w:pPr>
      <w:r>
        <w:rPr>
          <w:sz w:val="24"/>
          <w:szCs w:val="24"/>
        </w:rPr>
        <w:t xml:space="preserve">Программа ведёт учёт компаний и контактных лиц, обращений и сделок по настраиваемым стадиям, поддерживает публикацию партнёрских программ с уровнями участия, приём заявок партнёров, проверку и авторизацию проектов, учёт выданных лицензий с контролем сроков, а также обучение партнёров. Результатом работы являются реестры сделок, проектов и лицензий, отчёты и наглядные сводки показателей.</w:t>
      </w:r>
    </w:p>
    <w:p>
      <w:pPr>
        <w:spacing w:after="140" w:line="288"/>
        <w:jc w:val="both"/>
      </w:pPr>
      <w:r>
        <w:rPr>
          <w:sz w:val="24"/>
          <w:szCs w:val="24"/>
        </w:rPr>
        <w:t xml:space="preserve">Пользователями программы являются сотрудники производителя программного обеспечения — коммерческое подразделение, партнёрские менеджеры, администраторы — и сотрудники партнёрских организаций.</w:t>
      </w:r>
    </w:p>
    <w:p>
      <w:pPr>
        <w:spacing w:after="140" w:line="288"/>
        <w:jc w:val="both"/>
      </w:pPr>
      <w:r>
        <w:rPr>
          <w:sz w:val="24"/>
          <w:szCs w:val="24"/>
        </w:rPr>
        <w:t xml:space="preserve">Программа представляет собой веб-приложение с серверной частью и браузерным интерфейсом. </w:t>
      </w:r>
      <w:r>
        <w:rPr>
          <w:b/>
          <w:bCs/>
          <w:sz w:val="24"/>
          <w:szCs w:val="24"/>
        </w:rPr>
        <w:t xml:space="preserve">Интерфейс программы выполнен на русском языке.</w:t>
      </w:r>
    </w:p>
    <w:p>
      <w:pPr>
        <w:pStyle w:val="Heading2"/>
        <w:spacing w:after="160" w:before="360"/>
      </w:pPr>
      <w:r>
        <w:rPr>
          <w:b/>
          <w:bCs/>
          <w:sz w:val="28"/>
          <w:szCs w:val="28"/>
        </w:rPr>
        <w:t xml:space="preserve">2. Функциональные характеристики</w:t>
      </w:r>
    </w:p>
    <w:p>
      <w:pPr>
        <w:pStyle w:val="Heading3"/>
        <w:spacing w:after="120" w:before="240"/>
      </w:pPr>
      <w:r>
        <w:rPr>
          <w:b/>
          <w:bCs/>
          <w:sz w:val="24"/>
          <w:szCs w:val="24"/>
        </w:rPr>
        <w:t xml:space="preserve">2.1. Учёт контрагентов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Ведение реестра компаний с реквизитами и произвольным набором дополнительных полей, определяемым администратором.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Ведение реестра контактных лиц с привязкой к компаниям.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Разделение компаний по роли в сделке: заказчик, партнёр, дистрибутор.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Регистрация обращений и их преобразование в сделки с переносом сведений.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Обнаружение повторяющихся записей компаний по идентификационному номеру налогоплательщика и их объединение.</w:t>
      </w:r>
    </w:p>
    <w:p>
      <w:pPr>
        <w:pStyle w:val="Heading3"/>
        <w:spacing w:after="120" w:before="240"/>
      </w:pPr>
      <w:r>
        <w:rPr>
          <w:b/>
          <w:bCs/>
          <w:sz w:val="24"/>
          <w:szCs w:val="24"/>
        </w:rPr>
        <w:t xml:space="preserve">2.2. Управление сделками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Ведение сделок по настраиваемым стадиям; состав и порядок стадий задаются администратором для каждого контура отдельно.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Автоматическое присвоение номера сделки по правилу нумерации контура.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Расчёт распределения цены по участникам цепочки поставки по настраиваемым шаблонам: последовательность звеньев со скидками и наценками.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График платежей с контролем плановых и фактических дат поступления.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Вложения к сделке, заметки, задачи, напоминания, история смены стадий.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Назначение ответственного сотрудника.</w:t>
      </w:r>
    </w:p>
    <w:p>
      <w:pPr>
        <w:pStyle w:val="Heading3"/>
        <w:spacing w:after="120" w:before="240"/>
      </w:pPr>
      <w:r>
        <w:rPr>
          <w:b/>
          <w:bCs/>
          <w:sz w:val="24"/>
          <w:szCs w:val="24"/>
        </w:rPr>
        <w:t xml:space="preserve">2.3. Партнёрский контур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Публикация партнёрской программы производителя с уровнями участия и условиями; версионирование программы с сохранением согласий партнёров по каждой версии.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Приглашение партнёрских организаций и регистрация их представителей.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Подтверждение партнёром согласия с условиями программы с фиксацией факта и даты.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Приём заявок партнёров на проекты по конечным заказчикам.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Проверка заявок сотрудником производителя, выявление пересечений между партнёрами по одному заказчику.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Авторизация проекта на согласованных условиях и на определённый срок; снятие авторизации с указанием причины.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Обмен запросами информации по проекту между производителем и партнёром.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Управление состоянием партнёрства: приостановка, прекращение, возобновление.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Витрина продуктов производителя, доступная партнёрам.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Аналитика партнёрской сети: воронка проектов, конверсия, распределение по партнёрам.</w:t>
      </w:r>
    </w:p>
    <w:p>
      <w:pPr>
        <w:pStyle w:val="Heading3"/>
        <w:spacing w:after="120" w:before="240"/>
      </w:pPr>
      <w:r>
        <w:rPr>
          <w:b/>
          <w:bCs/>
          <w:sz w:val="24"/>
          <w:szCs w:val="24"/>
        </w:rPr>
        <w:t xml:space="preserve">2.4. Учёт лицензий на продукты производителя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Описание продуктов производителя с произвольным набором характеристик.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Приём запросов партнёров на выдачу лицензий конечным заказчикам.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Учёт выданных лицензий с параметрами и сроками действия, напоминание об истечении сроков.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Реестр лицензий в разрезе партнёров и конечных заказчиков.</w:t>
      </w:r>
    </w:p>
    <w:p>
      <w:pPr>
        <w:spacing w:after="140" w:line="288"/>
        <w:jc w:val="both"/>
      </w:pPr>
      <w:r>
        <w:rPr>
          <w:sz w:val="24"/>
          <w:szCs w:val="24"/>
        </w:rPr>
        <w:t xml:space="preserve">Раздел ведёт учёт сведений о выданных лицензиях; выпуск лицензионных ключей продуктов производителя программа не выполняет.</w:t>
      </w:r>
    </w:p>
    <w:p>
      <w:pPr>
        <w:pStyle w:val="Heading3"/>
        <w:spacing w:after="120" w:before="240"/>
      </w:pPr>
      <w:r>
        <w:rPr>
          <w:b/>
          <w:bCs/>
          <w:sz w:val="24"/>
          <w:szCs w:val="24"/>
        </w:rPr>
        <w:t xml:space="preserve">2.5. Отчётность и аналитика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Реестры сделок, проектов и лицензий с фильтрацией, поиском и настраиваемыми представлениями.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Настраиваемые сводки показателей на панелях с наборами виджетов; разрезы по стадиям, ответственным, компаниям, периодам и дополнительным полям.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Отчёты по периодам с выбором календарной или финансовой рамки года.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Выгрузка реестров компаний, контактных лиц, обращений и сделок в табличном формате; выполняется администратором экземпляра.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Загрузка тех же реестров из таблиц с предварительной проверкой и построчным отчётом об ошибках.</w:t>
      </w:r>
    </w:p>
    <w:p>
      <w:pPr>
        <w:pStyle w:val="Heading3"/>
        <w:spacing w:after="120" w:before="240"/>
      </w:pPr>
      <w:r>
        <w:rPr>
          <w:b/>
          <w:bCs/>
          <w:sz w:val="24"/>
          <w:szCs w:val="24"/>
        </w:rPr>
        <w:t xml:space="preserve">2.6. Обучение пользователей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Раздел обучающих материалов, встроенный в программу.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Разделение материалов по ролям пользователей.</w:t>
      </w:r>
    </w:p>
    <w:p>
      <w:pPr>
        <w:pStyle w:val="Heading3"/>
        <w:spacing w:after="120" w:before="240"/>
      </w:pPr>
      <w:r>
        <w:rPr>
          <w:b/>
          <w:bCs/>
          <w:sz w:val="24"/>
          <w:szCs w:val="24"/>
        </w:rPr>
        <w:t xml:space="preserve">2.7. Разграничение доступа и администрирование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Ролевая модель прав с раздельными полномочиями и охватом видимости: полномочие определяет допустимое действие, охват — данные, на которые оно распространяется.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Права на отдельные поля объектов учёта: скрытие, только чтение, изменение.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Изоляция данных между контурами разных производителей на уровне системы управления базами данных, независимо от прикладного слоя.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Ограничение видимости данных партнёра пределами собственной организации.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Двухфакторная проверка при входе для учётных записей, для которых она включена.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Журнал действий пользователей по объектам учёта и журнал изменения настроек; записи связаны в цепочку контрольными суммами, предусмотрена проверка целостности.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Настройки контура производителя: правило нумерации, наименование, реквизиты отправки почтовых уведомлений, пороговые значения, начало финансового года.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Управление составом дополнительных полей объектов учёта без изменения программы.</w:t>
      </w:r>
    </w:p>
    <w:p>
      <w:pPr>
        <w:pStyle w:val="Heading3"/>
        <w:spacing w:after="120" w:before="240"/>
      </w:pPr>
      <w:r>
        <w:rPr>
          <w:b/>
          <w:bCs/>
          <w:sz w:val="24"/>
          <w:szCs w:val="24"/>
        </w:rPr>
        <w:t xml:space="preserve">2.8. Уведомления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Отправка почтовых уведомлений участникам процесса: приглашения, изменения состояния заявок и проектов, напоминания о сроках.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Отправка выполняется через почтовый транспорт, реквизиты которого задаёт производитель самостоятельно.</w:t>
      </w:r>
    </w:p>
    <w:p>
      <w:pPr>
        <w:pStyle w:val="Heading2"/>
        <w:spacing w:after="160" w:before="360"/>
      </w:pPr>
      <w:r>
        <w:rPr>
          <w:b/>
          <w:bCs/>
          <w:sz w:val="28"/>
          <w:szCs w:val="28"/>
        </w:rPr>
        <w:t xml:space="preserve">3. Порядок предоставления доступа</w:t>
      </w:r>
    </w:p>
    <w:p>
      <w:pPr>
        <w:pStyle w:val="Heading3"/>
        <w:spacing w:after="120" w:before="240"/>
      </w:pPr>
      <w:r>
        <w:rPr>
          <w:b/>
          <w:bCs/>
          <w:sz w:val="24"/>
          <w:szCs w:val="24"/>
        </w:rPr>
        <w:t xml:space="preserve">3.1. Способ поставки</w:t>
      </w:r>
    </w:p>
    <w:p>
      <w:pPr>
        <w:spacing w:after="140" w:line="288"/>
        <w:jc w:val="both"/>
      </w:pPr>
      <w:r>
        <w:rPr>
          <w:sz w:val="24"/>
          <w:szCs w:val="24"/>
        </w:rPr>
        <w:t xml:space="preserve">Программа предоставляется как интернет-сервис. Серверная часть разворачивается, размещается и обслуживается правообладателем на серверах, находящихся на территории Российской Федерации. Пользователю предоставляется доступ к программе через браузер.</w:t>
      </w:r>
    </w:p>
    <w:p>
      <w:pPr>
        <w:spacing w:after="140" w:line="288"/>
        <w:jc w:val="both"/>
      </w:pPr>
      <w:r>
        <w:rPr>
          <w:b/>
          <w:bCs/>
          <w:sz w:val="24"/>
          <w:szCs w:val="24"/>
        </w:rPr>
        <w:t xml:space="preserve">Установка программного обеспечения на рабочее место пользователя не требуется.</w:t>
      </w:r>
      <w:r>
        <w:rPr>
          <w:sz w:val="24"/>
          <w:szCs w:val="24"/>
        </w:rPr>
        <w:t xml:space="preserve"> Пользователь не выполняет развёртывания, настройки серверных компонентов, установки обновлений и резервного копирования: эти действия выполняет правообладатель.</w:t>
      </w:r>
    </w:p>
    <w:p>
      <w:pPr>
        <w:pStyle w:val="Heading3"/>
        <w:spacing w:after="120" w:before="240"/>
      </w:pPr>
      <w:r>
        <w:rPr>
          <w:b/>
          <w:bCs/>
          <w:sz w:val="24"/>
          <w:szCs w:val="24"/>
        </w:rPr>
        <w:t xml:space="preserve">3.2. Требования к рабочему месту пользователя</w:t>
      </w:r>
    </w:p>
    <w:tbl>
      <w:tblPr>
        <w:tblW w:type="dxa" w:w="9638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CCCCCC" w:sz="2"/>
          <w:insideV w:val="single" w:color="CCCCCC" w:sz="2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shd w:fill="ECECEC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40"/>
            </w:pPr>
            <w:r>
              <w:rPr>
                <w:b/>
                <w:bCs/>
                <w:sz w:val="21"/>
                <w:szCs w:val="21"/>
              </w:rPr>
              <w:t xml:space="preserve">Компонент</w:t>
            </w:r>
          </w:p>
        </w:tc>
        <w:tc>
          <w:tcPr>
            <w:tcW w:type="dxa" w:w="6438"/>
            <w:shd w:fill="ECECEC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40"/>
            </w:pPr>
            <w:r>
              <w:rPr>
                <w:b/>
                <w:bCs/>
                <w:sz w:val="21"/>
                <w:szCs w:val="21"/>
              </w:rPr>
              <w:t xml:space="preserve">Требование</w:t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40"/>
            </w:pPr>
            <w:r>
              <w:rPr>
                <w:sz w:val="21"/>
                <w:szCs w:val="21"/>
              </w:rPr>
              <w:t xml:space="preserve">Устройство</w:t>
            </w:r>
          </w:p>
        </w:tc>
        <w:tc>
          <w:tcPr>
            <w:tcW w:type="dxa" w:w="643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40"/>
            </w:pPr>
            <w:r>
              <w:rPr>
                <w:sz w:val="21"/>
                <w:szCs w:val="21"/>
              </w:rPr>
              <w:t xml:space="preserve">персональный компьютер, планшет или мобильное устройство</w:t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40"/>
            </w:pPr>
            <w:r>
              <w:rPr>
                <w:sz w:val="21"/>
                <w:szCs w:val="21"/>
              </w:rPr>
              <w:t xml:space="preserve">Браузер</w:t>
            </w:r>
          </w:p>
        </w:tc>
        <w:tc>
          <w:tcPr>
            <w:tcW w:type="dxa" w:w="643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40"/>
            </w:pPr>
            <w:r>
              <w:rPr>
                <w:sz w:val="21"/>
                <w:szCs w:val="21"/>
              </w:rPr>
              <w:t xml:space="preserve">поддерживающий стандарты HTML5 и ECMAScript 2020 и выше</w:t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40"/>
            </w:pPr>
            <w:r>
              <w:rPr>
                <w:sz w:val="21"/>
                <w:szCs w:val="21"/>
              </w:rPr>
              <w:t xml:space="preserve">Разрешение экрана</w:t>
            </w:r>
          </w:p>
        </w:tc>
        <w:tc>
          <w:tcPr>
            <w:tcW w:type="dxa" w:w="643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40"/>
            </w:pPr>
            <w:r>
              <w:rPr>
                <w:sz w:val="21"/>
                <w:szCs w:val="21"/>
              </w:rPr>
              <w:t xml:space="preserve">от 360 пикселей по ширине; интерфейс приспосабливается к размеру экрана</w:t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40"/>
            </w:pPr>
            <w:r>
              <w:rPr>
                <w:sz w:val="21"/>
                <w:szCs w:val="21"/>
              </w:rPr>
              <w:t xml:space="preserve">Сеть</w:t>
            </w:r>
          </w:p>
        </w:tc>
        <w:tc>
          <w:tcPr>
            <w:tcW w:type="dxa" w:w="643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40"/>
            </w:pPr>
            <w:r>
              <w:rPr>
                <w:sz w:val="21"/>
                <w:szCs w:val="21"/>
              </w:rPr>
              <w:t xml:space="preserve">подключение к сети Интернет</w:t>
            </w:r>
          </w:p>
        </w:tc>
      </w:tr>
    </w:tbl>
    <w:p>
      <w:pPr>
        <w:spacing w:after="160"/>
      </w:pPr>
    </w:p>
    <w:p>
      <w:pPr>
        <w:spacing w:after="140" w:line="288"/>
        <w:jc w:val="both"/>
      </w:pPr>
      <w:r>
        <w:rPr>
          <w:sz w:val="24"/>
          <w:szCs w:val="24"/>
        </w:rPr>
        <w:t xml:space="preserve">Иных требований к рабочему месту не предъявляется. Установка дополнительных программных компонентов, расширений браузера и сертификатов не требуется.</w:t>
      </w:r>
    </w:p>
    <w:p>
      <w:pPr>
        <w:pStyle w:val="Heading3"/>
        <w:spacing w:after="120" w:before="240"/>
      </w:pPr>
      <w:r>
        <w:rPr>
          <w:b/>
          <w:bCs/>
          <w:sz w:val="24"/>
          <w:szCs w:val="24"/>
        </w:rPr>
        <w:t xml:space="preserve">3.3. Внешние обращения при работе</w:t>
      </w:r>
    </w:p>
    <w:p>
      <w:pPr>
        <w:spacing w:after="140" w:line="288"/>
        <w:jc w:val="both"/>
      </w:pPr>
      <w:r>
        <w:rPr>
          <w:sz w:val="24"/>
          <w:szCs w:val="24"/>
        </w:rPr>
        <w:t xml:space="preserve">Программа не загружает и не устанавливает исполняемый код из внешних источников; механизм принудительного обновления отсутствует.</w:t>
      </w:r>
    </w:p>
    <w:p>
      <w:pPr>
        <w:spacing w:after="140" w:line="288"/>
        <w:jc w:val="both"/>
      </w:pPr>
      <w:r>
        <w:rPr>
          <w:sz w:val="24"/>
          <w:szCs w:val="24"/>
        </w:rPr>
        <w:t xml:space="preserve">В процессе работы программа обращается только к следующим адресатам: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собственная серверная часть экземпляра;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инфраструктура выдачи и учёта лицензий правообладателя, размещённая на территории Российской Федерации;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объектное хранилище резервных копий, размещённое на территории Российской Федерации;</w:t>
      </w:r>
    </w:p>
    <w:p>
      <w:pPr>
        <w:pStyle w:val="ListParagraph"/>
        <w:numPr>
          <w:ilvl w:val="0"/>
          <w:numId w:val="1"/>
        </w:numPr>
        <w:spacing w:after="100" w:line="288"/>
      </w:pPr>
      <w:r>
        <w:rPr>
          <w:sz w:val="24"/>
          <w:szCs w:val="24"/>
        </w:rPr>
        <w:t xml:space="preserve">почтовый транспорт, реквизиты которого задаёт производитель.</w:t>
      </w:r>
    </w:p>
    <w:p>
      <w:pPr>
        <w:spacing w:after="140" w:line="288"/>
        <w:jc w:val="both"/>
      </w:pPr>
      <w:r>
        <w:rPr>
          <w:sz w:val="24"/>
          <w:szCs w:val="24"/>
        </w:rPr>
        <w:t xml:space="preserve">Обращения к иностранным сервисам отсутствуют. Шрифты, значки и библиотеки интерфейса поставляются в составе программы.</w:t>
      </w:r>
    </w:p>
    <w:p>
      <w:pPr>
        <w:pStyle w:val="Heading2"/>
        <w:spacing w:after="160" w:before="360"/>
      </w:pPr>
      <w:r>
        <w:rPr>
          <w:b/>
          <w:bCs/>
          <w:sz w:val="28"/>
          <w:szCs w:val="28"/>
        </w:rPr>
        <w:t xml:space="preserve">4. Сведения, необходимые для эксплуатации</w:t>
      </w:r>
    </w:p>
    <w:p>
      <w:pPr>
        <w:pStyle w:val="Heading3"/>
        <w:spacing w:after="120" w:before="240"/>
      </w:pPr>
      <w:r>
        <w:rPr>
          <w:b/>
          <w:bCs/>
          <w:sz w:val="24"/>
          <w:szCs w:val="24"/>
        </w:rPr>
        <w:t xml:space="preserve">4.1. Начало работы</w:t>
      </w:r>
    </w:p>
    <w:p>
      <w:pPr>
        <w:spacing w:after="140" w:line="288"/>
        <w:jc w:val="both"/>
      </w:pPr>
      <w:r>
        <w:rPr>
          <w:sz w:val="24"/>
          <w:szCs w:val="24"/>
        </w:rPr>
        <w:t xml:space="preserve">Доступ предоставляется правообладателем по адресу контура; получение доступа не требует от пользователя установки программного обеспечения. Вход выполняется по логину или адресу электронной почты и паролю; при включённой двухфакторной проверке дополнительно вводится одноразовый код. При первом входе смена пароля обязательна. Восстановление пароля выполняется пользователем самостоятельно со страницы входа.</w:t>
      </w:r>
    </w:p>
    <w:p>
      <w:pPr>
        <w:spacing w:after="140" w:line="288"/>
        <w:jc w:val="both"/>
      </w:pPr>
      <w:r>
        <w:rPr>
          <w:sz w:val="24"/>
          <w:szCs w:val="24"/>
        </w:rPr>
        <w:t xml:space="preserve">Пароль должен быть не короче двенадцати символов и не может совпадать с действующим: при смене требуется задать новый пароль, отличный от прежнего.</w:t>
      </w:r>
    </w:p>
    <w:p>
      <w:pPr>
        <w:pStyle w:val="Heading3"/>
        <w:spacing w:after="120" w:before="240"/>
      </w:pPr>
      <w:r>
        <w:rPr>
          <w:b/>
          <w:bCs/>
          <w:sz w:val="24"/>
          <w:szCs w:val="24"/>
        </w:rPr>
        <w:t xml:space="preserve">4.2. Порядок настройки контура</w:t>
      </w:r>
    </w:p>
    <w:p>
      <w:pPr>
        <w:spacing w:after="140" w:line="288"/>
        <w:jc w:val="both"/>
      </w:pPr>
      <w:r>
        <w:rPr>
          <w:sz w:val="24"/>
          <w:szCs w:val="24"/>
        </w:rPr>
        <w:t xml:space="preserve">После предоставления доступа администратор контура задаёт правило нумерации, наименование контура, реквизиты почтовой отправки, состав стадий сделок и дополнительных полей, а также приглашает сотрудников и партнёрские организации. Порядок действий изложен в документе «Руководство администратора».</w:t>
      </w:r>
    </w:p>
    <w:p>
      <w:pPr>
        <w:spacing w:after="140" w:line="288"/>
        <w:jc w:val="both"/>
      </w:pPr>
      <w:r>
        <w:rPr>
          <w:sz w:val="24"/>
          <w:szCs w:val="24"/>
        </w:rPr>
        <w:t xml:space="preserve">Повседневная работа с данными изложена в документе «Руководство пользователя».</w:t>
      </w:r>
    </w:p>
    <w:p>
      <w:pPr>
        <w:pStyle w:val="Heading3"/>
        <w:spacing w:after="120" w:before="240"/>
      </w:pPr>
      <w:r>
        <w:rPr>
          <w:b/>
          <w:bCs/>
          <w:sz w:val="24"/>
          <w:szCs w:val="24"/>
        </w:rPr>
        <w:t xml:space="preserve">4.3. Резервное копирование</w:t>
      </w:r>
    </w:p>
    <w:p>
      <w:pPr>
        <w:spacing w:after="140" w:line="288"/>
        <w:jc w:val="both"/>
      </w:pPr>
      <w:r>
        <w:rPr>
          <w:sz w:val="24"/>
          <w:szCs w:val="24"/>
        </w:rPr>
        <w:t xml:space="preserve">Резервные копии базы данных создаются ежесуточно по расписанию и помещаются в объектное хранилище, размещённое на территории Российской Федерации. Дополнительная копия создаётся перед каждой установкой новой версии. Пригодность копий проверяется практическим восстановлением.</w:t>
      </w:r>
    </w:p>
    <w:p>
      <w:pPr>
        <w:pStyle w:val="Heading3"/>
        <w:spacing w:after="120" w:before="240"/>
      </w:pPr>
      <w:r>
        <w:rPr>
          <w:b/>
          <w:bCs/>
          <w:sz w:val="24"/>
          <w:szCs w:val="24"/>
        </w:rPr>
        <w:t xml:space="preserve">4.4. Обновление</w:t>
      </w:r>
    </w:p>
    <w:p>
      <w:pPr>
        <w:spacing w:after="140" w:line="288"/>
        <w:jc w:val="both"/>
      </w:pPr>
      <w:r>
        <w:rPr>
          <w:sz w:val="24"/>
          <w:szCs w:val="24"/>
        </w:rPr>
        <w:t xml:space="preserve">Обновление выполняется правообладателем централизованно, без участия пользователя и без перерыва в предоставлении доступа сверх кратковременного перезапуска. Установка обновлений на рабочие места не требуется. Порядок изложен в документе «Описание процессов жизненного цикла программы».</w:t>
      </w:r>
    </w:p>
    <w:p>
      <w:pPr>
        <w:pStyle w:val="Heading3"/>
        <w:spacing w:after="120" w:before="240"/>
      </w:pPr>
      <w:r>
        <w:rPr>
          <w:b/>
          <w:bCs/>
          <w:sz w:val="24"/>
          <w:szCs w:val="24"/>
        </w:rPr>
        <w:t xml:space="preserve">4.5. Техническая поддержка</w:t>
      </w:r>
    </w:p>
    <w:p>
      <w:pPr>
        <w:spacing w:after="140" w:line="288"/>
        <w:jc w:val="both"/>
      </w:pPr>
      <w:r>
        <w:rPr>
          <w:sz w:val="24"/>
          <w:szCs w:val="24"/>
        </w:rPr>
        <w:t xml:space="preserve">Обращения принимаются по адресу электронной почты </w:t>
      </w:r>
      <w:r>
        <w:rPr>
          <w:b/>
          <w:bCs/>
          <w:sz w:val="24"/>
          <w:szCs w:val="24"/>
        </w:rPr>
        <w:t xml:space="preserve">support@vernykhod.ru</w:t>
      </w:r>
      <w:r>
        <w:rPr>
          <w:sz w:val="24"/>
          <w:szCs w:val="24"/>
        </w:rPr>
        <w:t xml:space="preserve"> в рабочие дни с 9:00 до 18:00 по московскому времени.</w:t>
      </w:r>
    </w:p>
    <w:p>
      <w:pPr>
        <w:spacing w:after="140" w:line="288"/>
        <w:jc w:val="both"/>
      </w:pPr>
      <w:r>
        <w:rPr>
          <w:sz w:val="24"/>
          <w:szCs w:val="24"/>
        </w:rPr>
        <w:t xml:space="preserve">Получение обращения подтверждается в течение рабочего дня. Если программа недоступна полностью, работы начинаются в течение рабочего дня с момента поступления обращения; по остальным неисправностям — в течение следующего рабочего дня. О ходе работ сообщается не реже одного раза в рабочий день до устранения.</w:t>
      </w:r>
    </w:p>
    <w:p>
      <w:pPr>
        <w:spacing w:after="140" w:line="288"/>
        <w:jc w:val="both"/>
      </w:pPr>
      <w:r>
        <w:rPr>
          <w:sz w:val="24"/>
          <w:szCs w:val="24"/>
        </w:rPr>
        <w:t xml:space="preserve">Порядок обработки обращений изложен в документе «Описание процессов жизненного цикла программы».</w:t>
      </w:r>
    </w:p>
    <w:p>
      <w:pPr>
        <w:spacing w:after="200"/>
      </w:pPr>
    </w:p>
    <w:p>
      <w:pPr>
        <w:spacing w:after="120" w:before="240"/>
      </w:pPr>
      <w:r>
        <w:rPr>
          <w:i/>
          <w:iCs/>
          <w:sz w:val="22"/>
          <w:szCs w:val="22"/>
        </w:rPr>
        <w:t xml:space="preserve">Документ подготовлен 7 сентября 2026 г.</w:t>
      </w:r>
    </w:p>
    <w:sectPr>
      <w:pgSz w:w="11906" w:h="16838" w:orient="portrait"/>
      <w:pgMar w:top="1133" w:right="850" w:bottom="1133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2026-09-04T08:38:36.918Z</dcterms:created>
  <dcterms:modified xsi:type="dcterms:W3CDTF">2026-09-04T08:38:36.918Z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